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TRANSCATHETER AORTIC VALVE IN VALVE REPLACEMENT: EVALUATION OF MEAN AORTIC ECHOGRAPHIC GRADIENTS </w:t>
      </w:r>
    </w:p>
    <w:p w:rsidR="00374E2B" w:rsidRDefault="00B921ED" w:rsidP="00374E2B">
      <w:pPr>
        <w:widowControl w:val="0"/>
        <w:autoSpaceDE w:val="0"/>
        <w:autoSpaceDN w:val="0"/>
        <w:adjustRightInd w:val="0"/>
      </w:pPr>
      <w:r w:rsidRPr="00374E2B">
        <w:rPr>
          <w:b/>
          <w:bCs/>
          <w:u w:val="single"/>
        </w:rPr>
        <w:t>R</w:t>
      </w:r>
      <w:r w:rsidR="00374E2B" w:rsidRPr="00374E2B">
        <w:rPr>
          <w:b/>
          <w:bCs/>
          <w:u w:val="single"/>
        </w:rPr>
        <w:t>.</w:t>
      </w:r>
      <w:r w:rsidRPr="00374E2B">
        <w:rPr>
          <w:b/>
          <w:bCs/>
          <w:u w:val="single"/>
        </w:rPr>
        <w:t xml:space="preserve"> Radjef</w:t>
      </w:r>
      <w:r w:rsidR="00374E2B" w:rsidRPr="00374E2B">
        <w:rPr>
          <w:b/>
          <w:bCs/>
          <w:u w:val="single"/>
          <w:vertAlign w:val="superscript"/>
        </w:rPr>
        <w:t>1</w:t>
      </w:r>
      <w:r>
        <w:t>, D</w:t>
      </w:r>
      <w:r w:rsidR="00374E2B">
        <w:t>.</w:t>
      </w:r>
      <w:r>
        <w:t>D</w:t>
      </w:r>
      <w:r w:rsidR="00374E2B">
        <w:t>.</w:t>
      </w:r>
      <w:r>
        <w:t xml:space="preserve"> Wang</w:t>
      </w:r>
      <w:r w:rsidR="00374E2B" w:rsidRPr="00374E2B">
        <w:rPr>
          <w:vertAlign w:val="superscript"/>
        </w:rPr>
        <w:t>2</w:t>
      </w:r>
      <w:r>
        <w:t>, B</w:t>
      </w:r>
      <w:r w:rsidR="00374E2B">
        <w:t>.</w:t>
      </w:r>
      <w:r>
        <w:t xml:space="preserve"> Fuller</w:t>
      </w:r>
      <w:r w:rsidR="00374E2B" w:rsidRPr="00374E2B">
        <w:rPr>
          <w:vertAlign w:val="superscript"/>
        </w:rPr>
        <w:t>3</w:t>
      </w:r>
      <w:r>
        <w:t>, A</w:t>
      </w:r>
      <w:r w:rsidR="00374E2B">
        <w:t>.</w:t>
      </w:r>
      <w:r>
        <w:t xml:space="preserve"> Taylor</w:t>
      </w:r>
      <w:r w:rsidR="00374E2B" w:rsidRPr="00374E2B">
        <w:rPr>
          <w:vertAlign w:val="superscript"/>
        </w:rPr>
        <w:t>4</w:t>
      </w:r>
      <w:r>
        <w:t>, J</w:t>
      </w:r>
      <w:r w:rsidR="00374E2B">
        <w:t>.</w:t>
      </w:r>
      <w:r>
        <w:t xml:space="preserve"> Wyman</w:t>
      </w:r>
      <w:r w:rsidR="00374E2B" w:rsidRPr="00374E2B">
        <w:rPr>
          <w:vertAlign w:val="superscript"/>
        </w:rPr>
        <w:t>2</w:t>
      </w:r>
      <w:r>
        <w:t>, J</w:t>
      </w:r>
      <w:r w:rsidR="00374E2B">
        <w:t>.</w:t>
      </w:r>
      <w:r>
        <w:t xml:space="preserve"> Borgi</w:t>
      </w:r>
      <w:r w:rsidR="00374E2B" w:rsidRPr="00374E2B">
        <w:rPr>
          <w:vertAlign w:val="superscript"/>
        </w:rPr>
        <w:t>5</w:t>
      </w:r>
      <w:r>
        <w:t>, G</w:t>
      </w:r>
      <w:r w:rsidR="00374E2B">
        <w:t>.</w:t>
      </w:r>
      <w:r>
        <w:t xml:space="preserve"> Paone</w:t>
      </w:r>
      <w:r w:rsidR="00374E2B" w:rsidRPr="00374E2B">
        <w:rPr>
          <w:vertAlign w:val="superscript"/>
        </w:rPr>
        <w:t>5</w:t>
      </w:r>
      <w:r>
        <w:t xml:space="preserve">, </w:t>
      </w:r>
    </w:p>
    <w:p w:rsidR="00B921ED" w:rsidRDefault="00B921ED" w:rsidP="00374E2B">
      <w:pPr>
        <w:widowControl w:val="0"/>
        <w:autoSpaceDE w:val="0"/>
        <w:autoSpaceDN w:val="0"/>
        <w:adjustRightInd w:val="0"/>
      </w:pPr>
      <w:r>
        <w:t>M</w:t>
      </w:r>
      <w:r w:rsidR="00374E2B">
        <w:t>.</w:t>
      </w:r>
      <w:r>
        <w:t xml:space="preserve"> Eng</w:t>
      </w:r>
      <w:r w:rsidR="00374E2B" w:rsidRPr="00374E2B">
        <w:rPr>
          <w:vertAlign w:val="superscript"/>
        </w:rPr>
        <w:t>2</w:t>
      </w:r>
      <w:r>
        <w:t>, A</w:t>
      </w:r>
      <w:r w:rsidR="00374E2B">
        <w:t>.</w:t>
      </w:r>
      <w:r>
        <w:t xml:space="preserve"> Greenbaum</w:t>
      </w:r>
      <w:r w:rsidR="00374E2B" w:rsidRPr="00374E2B">
        <w:rPr>
          <w:vertAlign w:val="superscript"/>
        </w:rPr>
        <w:t>2</w:t>
      </w:r>
      <w:r>
        <w:t>, W</w:t>
      </w:r>
      <w:r w:rsidR="00374E2B">
        <w:t>.</w:t>
      </w:r>
      <w:r>
        <w:t>W</w:t>
      </w:r>
      <w:r w:rsidR="00374E2B">
        <w:t>.</w:t>
      </w:r>
      <w:r>
        <w:t xml:space="preserve"> O'Neill</w:t>
      </w:r>
      <w:r w:rsidR="00374E2B" w:rsidRPr="00374E2B">
        <w:rPr>
          <w:vertAlign w:val="superscript"/>
        </w:rPr>
        <w:t>2</w:t>
      </w:r>
    </w:p>
    <w:p w:rsidR="00374E2B" w:rsidRDefault="00374E2B" w:rsidP="00374E2B">
      <w:pPr>
        <w:widowControl w:val="0"/>
        <w:autoSpaceDE w:val="0"/>
        <w:autoSpaceDN w:val="0"/>
        <w:adjustRightInd w:val="0"/>
        <w:rPr>
          <w:color w:val="000000"/>
        </w:rPr>
      </w:pPr>
      <w:r>
        <w:rPr>
          <w:color w:val="000000"/>
        </w:rPr>
        <w:t xml:space="preserve">1. </w:t>
      </w:r>
      <w:r w:rsidR="00B921ED">
        <w:rPr>
          <w:color w:val="000000"/>
        </w:rPr>
        <w:t>Department of Internal Medicine, Henry Ford Hospital, Detroit, MI, USA</w:t>
      </w:r>
    </w:p>
    <w:p w:rsidR="00374E2B" w:rsidRDefault="00374E2B" w:rsidP="00374E2B">
      <w:pPr>
        <w:widowControl w:val="0"/>
        <w:autoSpaceDE w:val="0"/>
        <w:autoSpaceDN w:val="0"/>
        <w:adjustRightInd w:val="0"/>
        <w:rPr>
          <w:color w:val="000000"/>
        </w:rPr>
      </w:pPr>
      <w:r>
        <w:rPr>
          <w:color w:val="000000"/>
        </w:rPr>
        <w:t xml:space="preserve">2. </w:t>
      </w:r>
      <w:r w:rsidR="00B921ED">
        <w:rPr>
          <w:color w:val="000000"/>
        </w:rPr>
        <w:t>Department of Structural heart disease, Henry Ford Hospital, Detroit, MI, USA</w:t>
      </w:r>
    </w:p>
    <w:p w:rsidR="00374E2B" w:rsidRDefault="00374E2B" w:rsidP="00374E2B">
      <w:pPr>
        <w:widowControl w:val="0"/>
        <w:autoSpaceDE w:val="0"/>
        <w:autoSpaceDN w:val="0"/>
        <w:adjustRightInd w:val="0"/>
        <w:rPr>
          <w:color w:val="000000"/>
        </w:rPr>
      </w:pPr>
      <w:r>
        <w:rPr>
          <w:color w:val="000000"/>
        </w:rPr>
        <w:t xml:space="preserve">3. </w:t>
      </w:r>
      <w:r w:rsidR="00B921ED">
        <w:rPr>
          <w:color w:val="000000"/>
        </w:rPr>
        <w:t>Department of Cardiovascular Medicine, Henry Ford Hospital, Detroit, MI, USA</w:t>
      </w:r>
    </w:p>
    <w:p w:rsidR="00374E2B" w:rsidRDefault="00374E2B" w:rsidP="00374E2B">
      <w:pPr>
        <w:widowControl w:val="0"/>
        <w:autoSpaceDE w:val="0"/>
        <w:autoSpaceDN w:val="0"/>
        <w:adjustRightInd w:val="0"/>
        <w:rPr>
          <w:color w:val="000000"/>
        </w:rPr>
      </w:pPr>
      <w:r>
        <w:rPr>
          <w:color w:val="000000"/>
        </w:rPr>
        <w:t xml:space="preserve">4. </w:t>
      </w:r>
      <w:r w:rsidR="00B921ED">
        <w:rPr>
          <w:color w:val="000000"/>
        </w:rPr>
        <w:t xml:space="preserve">Department of </w:t>
      </w:r>
      <w:r>
        <w:rPr>
          <w:color w:val="000000"/>
        </w:rPr>
        <w:t>Public Health Scien</w:t>
      </w:r>
      <w:r w:rsidR="00B921ED">
        <w:rPr>
          <w:color w:val="000000"/>
        </w:rPr>
        <w:t>ce, Henry Ford Hospital, Detroit, MI, USA</w:t>
      </w:r>
    </w:p>
    <w:p w:rsidR="00B921ED" w:rsidRDefault="00374E2B" w:rsidP="00374E2B">
      <w:pPr>
        <w:widowControl w:val="0"/>
        <w:autoSpaceDE w:val="0"/>
        <w:autoSpaceDN w:val="0"/>
        <w:adjustRightInd w:val="0"/>
        <w:rPr>
          <w:color w:val="503820"/>
        </w:rPr>
      </w:pPr>
      <w:r>
        <w:rPr>
          <w:color w:val="000000"/>
        </w:rPr>
        <w:t xml:space="preserve">5. </w:t>
      </w:r>
      <w:r w:rsidR="00B921ED">
        <w:rPr>
          <w:color w:val="000000"/>
        </w:rPr>
        <w:t>Department of Cardiac/thoracic Surgery, Henry Ford Hospital, Detroit, MI, USA</w:t>
      </w:r>
    </w:p>
    <w:p w:rsidR="00B921ED" w:rsidRDefault="00B921ED">
      <w:pPr>
        <w:widowControl w:val="0"/>
        <w:autoSpaceDE w:val="0"/>
        <w:autoSpaceDN w:val="0"/>
        <w:adjustRightInd w:val="0"/>
      </w:pPr>
    </w:p>
    <w:p w:rsidR="00374E2B" w:rsidRDefault="00B921ED">
      <w:pPr>
        <w:widowControl w:val="0"/>
        <w:autoSpaceDE w:val="0"/>
        <w:autoSpaceDN w:val="0"/>
        <w:adjustRightInd w:val="0"/>
        <w:jc w:val="both"/>
      </w:pPr>
      <w:r w:rsidRPr="00374E2B">
        <w:rPr>
          <w:i/>
          <w:iCs/>
        </w:rPr>
        <w:t>Background</w:t>
      </w:r>
      <w:r>
        <w:t>:</w:t>
      </w:r>
      <w:r w:rsidR="00374E2B">
        <w:t xml:space="preserve"> </w:t>
      </w:r>
      <w:proofErr w:type="spellStart"/>
      <w:r>
        <w:t>Transcatheter</w:t>
      </w:r>
      <w:proofErr w:type="spellEnd"/>
      <w:r>
        <w:t xml:space="preserve"> Aortic Valve Replacement (TAVR) is performed in deteriorating surgical aortic valves (SAVR) in patients deemed high operative risk. However, there is limited data on acceptable post aortic valve (AV) gradient. This study examines the impact of TAVR in SAVR on mean AV gradient on post procedure follow ups.</w:t>
      </w:r>
    </w:p>
    <w:p w:rsidR="00374E2B" w:rsidRDefault="00B921ED">
      <w:pPr>
        <w:widowControl w:val="0"/>
        <w:autoSpaceDE w:val="0"/>
        <w:autoSpaceDN w:val="0"/>
        <w:adjustRightInd w:val="0"/>
        <w:jc w:val="both"/>
      </w:pPr>
      <w:r w:rsidRPr="00374E2B">
        <w:rPr>
          <w:i/>
          <w:iCs/>
        </w:rPr>
        <w:t>Method</w:t>
      </w:r>
      <w:r>
        <w:t>:</w:t>
      </w:r>
      <w:r w:rsidR="00374E2B">
        <w:t xml:space="preserve"> </w:t>
      </w:r>
      <w:r>
        <w:t xml:space="preserve">Between 9/2012-15, 35 patients were referred. Pre, post procedural, 1 month and 1 year follow up echocardiographic data, Brain Natriuretic Peptide (BNP) and New York Heart Association (NYHA) functional class were analyzed.Results:35 patients underwent TAVR in SAVR (12 Edwards </w:t>
      </w:r>
      <w:proofErr w:type="spellStart"/>
      <w:r>
        <w:t>Sapien</w:t>
      </w:r>
      <w:proofErr w:type="spellEnd"/>
      <w:r>
        <w:t xml:space="preserve">, 17 XT, 5 Medtronic </w:t>
      </w:r>
      <w:proofErr w:type="spellStart"/>
      <w:r>
        <w:t>CoreValves</w:t>
      </w:r>
      <w:proofErr w:type="spellEnd"/>
      <w:r>
        <w:t xml:space="preserve">, 1 Melody). Mean time interval between surgery and SAVR valve degeneration was 10 ± 2 years; 57% due to stenosis. Post procedure AV gradient (mmHg) decreased from 34.29 ± 18.29 to 16.8 ± 6.77 (p&lt;0.001, n=25), with an increase at 1month to 18.8 ± 8.66 (p=0.001, n=24) and 1 year to 21.91 ± 7.73 (p&lt;0.001, n=16). BNP level decreased at 1 month follow-up (p&lt;0.001) with a trend towards further decrease at 1 year. NYHA functional class improved from baseline III/IV to </w:t>
      </w:r>
      <w:proofErr w:type="gramStart"/>
      <w:r>
        <w:t>I</w:t>
      </w:r>
      <w:proofErr w:type="gramEnd"/>
      <w:r>
        <w:t xml:space="preserve"> at 1 year.</w:t>
      </w:r>
    </w:p>
    <w:p w:rsidR="00B921ED" w:rsidRDefault="00B921ED">
      <w:pPr>
        <w:widowControl w:val="0"/>
        <w:autoSpaceDE w:val="0"/>
        <w:autoSpaceDN w:val="0"/>
        <w:adjustRightInd w:val="0"/>
        <w:jc w:val="both"/>
      </w:pPr>
      <w:r w:rsidRPr="00374E2B">
        <w:rPr>
          <w:i/>
          <w:iCs/>
        </w:rPr>
        <w:t>Conclusion</w:t>
      </w:r>
      <w:r w:rsidR="00374E2B">
        <w:t xml:space="preserve">: </w:t>
      </w:r>
      <w:r>
        <w:t xml:space="preserve">Despite variation in echocardiographic follow up of valve in valve mean aortic valve gradients, patients had objective sustained clinical improvement by stable BNP and NYHA classification. Given the variation in surgical valve sizes and TAVR valve sizes, larger studies will be needed to assess for acceptable mean gradients variation post TAVR in SAVR. </w:t>
      </w:r>
    </w:p>
    <w:p w:rsidR="00B921ED" w:rsidRDefault="00B921ED">
      <w:pPr>
        <w:widowControl w:val="0"/>
        <w:autoSpaceDE w:val="0"/>
        <w:autoSpaceDN w:val="0"/>
        <w:adjustRightInd w:val="0"/>
      </w:pPr>
      <w:bookmarkStart w:id="0" w:name="_GoBack"/>
      <w:bookmarkEnd w:id="0"/>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DFA" w:rsidRDefault="00196DFA" w:rsidP="00374E2B">
      <w:r>
        <w:separator/>
      </w:r>
    </w:p>
  </w:endnote>
  <w:endnote w:type="continuationSeparator" w:id="0">
    <w:p w:rsidR="00196DFA" w:rsidRDefault="00196DFA" w:rsidP="00374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DFA" w:rsidRDefault="00196DFA" w:rsidP="00374E2B">
      <w:r>
        <w:separator/>
      </w:r>
    </w:p>
  </w:footnote>
  <w:footnote w:type="continuationSeparator" w:id="0">
    <w:p w:rsidR="00196DFA" w:rsidRDefault="00196DFA" w:rsidP="00374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E2B" w:rsidRDefault="00374E2B" w:rsidP="00374E2B">
    <w:pPr>
      <w:pStyle w:val="Header"/>
    </w:pPr>
    <w:r>
      <w:t xml:space="preserve">1406      Poster     Cat: </w:t>
    </w:r>
    <w:proofErr w:type="spellStart"/>
    <w:r>
      <w:rPr>
        <w:rFonts w:ascii="Arial" w:hAnsi="Arial" w:cs="Arial"/>
        <w:color w:val="222222"/>
        <w:sz w:val="19"/>
        <w:szCs w:val="19"/>
        <w:shd w:val="clear" w:color="auto" w:fill="FFFFFF"/>
      </w:rPr>
      <w:t>Valvular</w:t>
    </w:r>
    <w:proofErr w:type="spellEnd"/>
    <w:r>
      <w:rPr>
        <w:rFonts w:ascii="Arial" w:hAnsi="Arial" w:cs="Arial"/>
        <w:color w:val="222222"/>
        <w:sz w:val="19"/>
        <w:szCs w:val="19"/>
        <w:shd w:val="clear" w:color="auto" w:fill="FFFFFF"/>
      </w:rPr>
      <w:t xml:space="preserve"> heart disease/Heart valve surgery-adult</w:t>
    </w:r>
  </w:p>
  <w:p w:rsidR="00374E2B" w:rsidRDefault="00374E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196DFA"/>
    <w:rsid w:val="001A15E9"/>
    <w:rsid w:val="00374E2B"/>
    <w:rsid w:val="00447B2F"/>
    <w:rsid w:val="00B921ED"/>
    <w:rsid w:val="00D24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9E815A3-26FE-4A06-8E85-7D4CA655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E2B"/>
    <w:pPr>
      <w:tabs>
        <w:tab w:val="center" w:pos="4680"/>
        <w:tab w:val="right" w:pos="9360"/>
      </w:tabs>
    </w:pPr>
  </w:style>
  <w:style w:type="character" w:customStyle="1" w:styleId="HeaderChar">
    <w:name w:val="Header Char"/>
    <w:basedOn w:val="DefaultParagraphFont"/>
    <w:link w:val="Header"/>
    <w:uiPriority w:val="99"/>
    <w:rsid w:val="00374E2B"/>
    <w:rPr>
      <w:sz w:val="24"/>
      <w:szCs w:val="24"/>
    </w:rPr>
  </w:style>
  <w:style w:type="paragraph" w:styleId="Footer">
    <w:name w:val="footer"/>
    <w:basedOn w:val="Normal"/>
    <w:link w:val="FooterChar"/>
    <w:uiPriority w:val="99"/>
    <w:unhideWhenUsed/>
    <w:rsid w:val="00374E2B"/>
    <w:pPr>
      <w:tabs>
        <w:tab w:val="center" w:pos="4680"/>
        <w:tab w:val="right" w:pos="9360"/>
      </w:tabs>
    </w:pPr>
  </w:style>
  <w:style w:type="character" w:customStyle="1" w:styleId="FooterChar">
    <w:name w:val="Footer Char"/>
    <w:basedOn w:val="DefaultParagraphFont"/>
    <w:link w:val="Footer"/>
    <w:uiPriority w:val="99"/>
    <w:rsid w:val="00374E2B"/>
    <w:rPr>
      <w:sz w:val="24"/>
      <w:szCs w:val="24"/>
    </w:rPr>
  </w:style>
  <w:style w:type="paragraph" w:styleId="ListParagraph">
    <w:name w:val="List Paragraph"/>
    <w:basedOn w:val="Normal"/>
    <w:uiPriority w:val="34"/>
    <w:qFormat/>
    <w:rsid w:val="00374E2B"/>
    <w:pPr>
      <w:ind w:left="720"/>
      <w:contextualSpacing/>
    </w:pPr>
  </w:style>
  <w:style w:type="paragraph" w:styleId="BalloonText">
    <w:name w:val="Balloon Text"/>
    <w:basedOn w:val="Normal"/>
    <w:link w:val="BalloonTextChar"/>
    <w:uiPriority w:val="99"/>
    <w:semiHidden/>
    <w:unhideWhenUsed/>
    <w:rsid w:val="00D24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C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cp:lastPrinted>2016-04-13T13:56:00Z</cp:lastPrinted>
  <dcterms:created xsi:type="dcterms:W3CDTF">2016-04-13T10:42:00Z</dcterms:created>
  <dcterms:modified xsi:type="dcterms:W3CDTF">2016-04-13T13:56:00Z</dcterms:modified>
</cp:coreProperties>
</file>